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5AA9A7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445770</wp:posOffset>
                </wp:positionV>
                <wp:extent cx="3977640" cy="789940"/>
                <wp:effectExtent l="0" t="0" r="0" b="0"/>
                <wp:wrapNone/>
                <wp:docPr id="780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7640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25" type="#_x0000_t202" style="width:313.2pt;height:62.2pt;margin-top:35.1pt;margin-left:35.05pt;mso-wrap-distance-bottom:0;mso-wrap-distance-left:9pt;mso-wrap-distance-right:9pt;mso-wrap-distance-top:0;position:absolute;v-text-anchor:top;z-index:251674624" fillcolor="this">
                <v:textbox style="mso-fit-shape-to-text:t">
                  <w:txbxContent>
                    <w:p w14:paraId="788661FB">
                      <w:pPr>
                        <w:spacing w:line="7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1208405</wp:posOffset>
                </wp:positionV>
                <wp:extent cx="2512695" cy="624840"/>
                <wp:effectExtent l="0" t="0" r="0" b="0"/>
                <wp:wrapNone/>
                <wp:docPr id="77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26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0101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type="#_x0000_t202" style="width:197.85pt;height:49.2pt;margin-top:95.15pt;margin-left:252.3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318D7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20" w:lineRule="exact"/>
                        <w:ind w:firstLineChars="0"/>
                        <w:rPr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6FF938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20" w:lineRule="exact"/>
                        <w:ind w:firstLineChars="0"/>
                        <w:rPr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0101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10344150</wp:posOffset>
                </wp:positionV>
                <wp:extent cx="7573010" cy="372745"/>
                <wp:effectExtent l="0" t="0" r="8890" b="8255"/>
                <wp:wrapNone/>
                <wp:docPr id="773" name="矩形 7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3010" cy="3727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6.3pt;height:29.35pt;margin-top:814.5pt;margin-left:0;mso-height-relative:page;mso-width-relative:page;position:absolute;v-text-anchor:middle;z-index:251661312" coordsize="21600,21600" filled="t" fillcolor="#0d0d0d" stroked="f" strokeweight="1pt">
                <v:stroke joinstyle="miter"/>
                <o:lock v:ext="edit" aspectratio="f"/>
                <v:textbox>
                  <w:txbxContent>
                    <w:p w14:paraId="241360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2207260</wp:posOffset>
                </wp:positionV>
                <wp:extent cx="6791960" cy="8168640"/>
                <wp:effectExtent l="0" t="0" r="0" b="0"/>
                <wp:wrapNone/>
                <wp:docPr id="78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816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.06                   湖北工业大学工程技术院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  行政管理专业 / 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.06                   湖北工业大学传媒设计院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广告学专业 / 双学位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平安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-深圳壹账通智能科技有限公司 / 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                                      2017.10 - 20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  <w:lang w:val="en-US" w:eastAsia="zh-CN"/>
                              </w:rPr>
                              <w:t>12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1、资产管理：根据组织架构和职级，重新制定IT设备管理标准，建立申请、调拨、报废及盘点流程。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2、资产采购：通过招标优选供应商，对指定品牌按集采价格签订开口供货合同，为公司降低10%采购成本。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3、耗材管理：新购低端资产信息初始化，扫描入库，同时管理申请流程及人员发放。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4、预算管理：资产采购费用年度预算制定及申请，统管各部门资产采购预算分配及报销。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HP驻Covestro / IT部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 xml:space="preserve">                                                         2015.02 - 2017.10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22A35" w:themeColor="text2" w:themeShade="80"/>
                                <w:kern w:val="24"/>
                                <w:szCs w:val="21"/>
                              </w:rPr>
                              <w:t>IT资产管理主管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1、资产采购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：负责Local 所有IT固定资产的采购。根据Global提供的指定供应商以及产品机型及配置组织采购，将List导进ERP系统，在系统中完成采购及入库，数据可供随时调用查询。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2、产品召回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：负责跟进整个召回流程。因Helix电脑问题，Lenovo启动了Helix召回项目。此次召回需要内部先行回收，然后集中到Local统一寄送，跨国家和地区及多家供应商和物流公司，最终0失误圆满完成工作。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3、资产拆分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：参与Bayer IT资产拆分项目，牵头成立科思创IT资产组，负责资产具体拆分，确保资产合规性。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4、资产管理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：负责整个Local 地区的所有IT固定资产的采购、申请、报废、调拨、盘点等资产管理工作。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Certificate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Adobe认证设计师资质，WPS年度最佳设计师，湖北省创青春创业计划移动专项赛银奖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CET4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商务管理专业背景，具有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5年工作经验。其中含有4年以上大型企业人事行政管理经验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熟悉人事行政方向流程工作内容，拥有丰富的工作经验、综合行政及协调能力较强，具备日常行政支持和人力资源的复合型工作经验，多次大型活动策划经验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擅长于沟通拥极佳的适应能力和抗压能力，且自我驱动力较强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8" type="#_x0000_t202" style="width:534.8pt;height:643.2pt;margin-top:173.8pt;margin-left:28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24ECEFDF">
                      <w:pPr>
                        <w:spacing w:after="240" w:line="360" w:lineRule="exact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6AC0E634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.06                   湖北工业大学工程技术院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  行政管理专业 / 本科</w:t>
                      </w:r>
                    </w:p>
                    <w:p w14:paraId="4B85225E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.06                   湖北工业大学传媒设计院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广告学专业 / 双学位</w:t>
                      </w:r>
                    </w:p>
                    <w:p w14:paraId="0C94DA67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2A796B02">
                      <w:pPr>
                        <w:spacing w:line="360" w:lineRule="exact"/>
                        <w:jc w:val="left"/>
                      </w:pPr>
                    </w:p>
                    <w:p w14:paraId="4FDDDBC4">
                      <w:pPr>
                        <w:spacing w:after="24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33FDCE7F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平安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-深圳壹账通智能科技有限公司 / 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                                      2017.10 - 20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  <w:lang w:val="en-US" w:eastAsia="zh-CN"/>
                        </w:rPr>
                        <w:t>12</w:t>
                      </w:r>
                    </w:p>
                    <w:p w14:paraId="5B014B6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行政主管</w:t>
                      </w:r>
                    </w:p>
                    <w:p w14:paraId="27226B0B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1、资产管理：根据组织架构和职级，重新制定IT设备管理标准，建立申请、调拨、报废及盘点流程。 </w:t>
                      </w:r>
                    </w:p>
                    <w:p w14:paraId="674E009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2、资产采购：通过招标优选供应商，对指定品牌按集采价格签订开口供货合同，为公司降低10%采购成本。 </w:t>
                      </w:r>
                    </w:p>
                    <w:p w14:paraId="09B4AC9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3、耗材管理：新购低端资产信息初始化，扫描入库，同时管理申请流程及人员发放。 </w:t>
                      </w:r>
                    </w:p>
                    <w:p w14:paraId="233847B1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4、预算管理：资产采购费用年度预算制定及申请，统管各部门资产采购预算分配及报销。</w:t>
                      </w:r>
                    </w:p>
                    <w:p w14:paraId="5F6C6AA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62F4D9AB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HP驻Covestro / IT部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 xml:space="preserve">                                                         2015.02 - 2017.10</w:t>
                      </w:r>
                    </w:p>
                    <w:p w14:paraId="2702D3D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22A35" w:themeColor="text2" w:themeShade="80"/>
                          <w:kern w:val="24"/>
                          <w:szCs w:val="21"/>
                        </w:rPr>
                        <w:t>IT资产管理主管</w:t>
                      </w:r>
                    </w:p>
                    <w:p w14:paraId="3D8B422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1、资产采购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：负责Local 所有IT固定资产的采购。根据Global提供的指定供应商以及产品机型及配置组织采购，将List导进ERP系统，在系统中完成采购及入库，数据可供随时调用查询。 </w:t>
                      </w:r>
                    </w:p>
                    <w:p w14:paraId="451595A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2、产品召回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：负责跟进整个召回流程。因Helix电脑问题，Lenovo启动了Helix召回项目。此次召回需要内部先行回收，然后集中到Local统一寄送，跨国家和地区及多家供应商和物流公司，最终0失误圆满完成工作。 </w:t>
                      </w:r>
                    </w:p>
                    <w:p w14:paraId="032D4716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3、资产拆分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：参与Bayer IT资产拆分项目，牵头成立科思创IT资产组，负责资产具体拆分，确保资产合规性。 </w:t>
                      </w:r>
                    </w:p>
                    <w:p w14:paraId="063E733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4、资产管理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：负责整个Local 地区的所有IT固定资产的采购、申请、报废、调拨、盘点等资产管理工作。</w:t>
                      </w:r>
                    </w:p>
                    <w:p w14:paraId="7486BC07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01C69826">
                      <w:pPr>
                        <w:spacing w:line="360" w:lineRule="exact"/>
                        <w:jc w:val="left"/>
                      </w:pPr>
                    </w:p>
                    <w:p w14:paraId="3D96F06B">
                      <w:pPr>
                        <w:spacing w:after="24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>/  Certificate</w:t>
                      </w:r>
                    </w:p>
                    <w:p w14:paraId="73F5678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Adobe认证设计师资质，WPS年度最佳设计师，湖北省创青春创业计划移动专项赛银奖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CET4</w:t>
                      </w:r>
                    </w:p>
                    <w:p w14:paraId="0FF3394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58B72A35">
                      <w:pPr>
                        <w:spacing w:line="360" w:lineRule="exact"/>
                        <w:jc w:val="left"/>
                      </w:pPr>
                    </w:p>
                    <w:p w14:paraId="36614B9F">
                      <w:pPr>
                        <w:spacing w:after="24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74B9EF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商务管理专业背景，具有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5年工作经验。其中含有4年以上大型企业人事行政管理经验</w:t>
                      </w:r>
                    </w:p>
                    <w:p w14:paraId="23B067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熟悉人事行政方向流程工作内容，拥有丰富的工作经验、综合行政及协调能力较强，具备日常行政支持和人力资源的复合型工作经验，多次大型活动策划经验</w:t>
                      </w:r>
                    </w:p>
                    <w:p w14:paraId="488E96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擅长于沟通拥极佳的适应能力和抗压能力，且自我驱动力较强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9203055</wp:posOffset>
                </wp:positionV>
                <wp:extent cx="7044055" cy="0"/>
                <wp:effectExtent l="0" t="0" r="0" b="0"/>
                <wp:wrapNone/>
                <wp:docPr id="787" name="直接连接符 7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9984" from="19.15pt,724.65pt" to="573.8pt,724.65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9203055</wp:posOffset>
                </wp:positionV>
                <wp:extent cx="835025" cy="0"/>
                <wp:effectExtent l="0" t="19050" r="22225" b="19050"/>
                <wp:wrapNone/>
                <wp:docPr id="792" name="直接连接符 7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B1B1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8176" from="34.25pt,724.65pt" to="100pt,724.65pt" coordsize="21600,21600" stroked="t" strokecolor="#1b1b1b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8139430</wp:posOffset>
                </wp:positionV>
                <wp:extent cx="835025" cy="0"/>
                <wp:effectExtent l="0" t="19050" r="22225" b="19050"/>
                <wp:wrapNone/>
                <wp:docPr id="791" name="直接连接符 7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B1B1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6128" from="34.25pt,640.9pt" to="100pt,640.9pt" coordsize="21600,21600" stroked="t" strokecolor="#1b1b1b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8139430</wp:posOffset>
                </wp:positionV>
                <wp:extent cx="7044690" cy="0"/>
                <wp:effectExtent l="0" t="0" r="0" b="0"/>
                <wp:wrapNone/>
                <wp:docPr id="786" name="直接连接符 7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7936" from="19.15pt,640.9pt" to="573.85pt,640.9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5461635</wp:posOffset>
                </wp:positionV>
                <wp:extent cx="7044055" cy="0"/>
                <wp:effectExtent l="0" t="0" r="0" b="0"/>
                <wp:wrapNone/>
                <wp:docPr id="785" name="直接连接符 7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5888" from="19.15pt,430.05pt" to="573.8pt,430.05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5719445</wp:posOffset>
            </wp:positionH>
            <wp:positionV relativeFrom="paragraph">
              <wp:posOffset>506095</wp:posOffset>
            </wp:positionV>
            <wp:extent cx="1319530" cy="1319530"/>
            <wp:effectExtent l="0" t="0" r="1270" b="1270"/>
            <wp:wrapNone/>
            <wp:docPr id="1" name="图片 21" descr="C:/Users/lenovo/Pictures/1.p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/Users/lenovo/Pictures/1.png1"/>
                    <pic:cNvPicPr/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319589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3645" cy="10691495"/>
                <wp:effectExtent l="0" t="0" r="8890" b="0"/>
                <wp:wrapNone/>
                <wp:docPr id="772" name="矩形 7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3645" cy="106914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6.35pt;height:841.85pt;margin-top:0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790195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3645" cy="2036445"/>
                <wp:effectExtent l="0" t="0" r="8890" b="2540"/>
                <wp:wrapNone/>
                <wp:docPr id="774" name="矩形 7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3645" cy="20364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6.35pt;height:160.35pt;margin-top:0;margin-left:0;mso-height-relative:page;mso-width-relative:page;position:absolute;v-text-anchor:middle;z-index:251663360" coordsize="21600,21600" filled="t" fillcolor="#0d0d0d" stroked="f" strokeweight="1pt">
                <v:stroke joinstyle="miter"/>
                <o:lock v:ext="edit" aspectratio="f"/>
                <v:textbox>
                  <w:txbxContent>
                    <w:p w14:paraId="21E557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229870</wp:posOffset>
                </wp:positionV>
                <wp:extent cx="7044690" cy="10090785"/>
                <wp:effectExtent l="6350" t="6350" r="16510" b="18415"/>
                <wp:wrapNone/>
                <wp:docPr id="775" name="矩形 7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4460" cy="10090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54.7pt;height:794.55pt;margin-top:18.1pt;margin-left:19.15pt;mso-height-relative:page;mso-width-relative:page;position:absolute;v-text-anchor:middle;z-index:251665408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2035810</wp:posOffset>
                </wp:positionV>
                <wp:extent cx="7044690" cy="8296910"/>
                <wp:effectExtent l="6350" t="6350" r="16510" b="21590"/>
                <wp:wrapNone/>
                <wp:docPr id="776" name="矩形 7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4460" cy="8296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54.7pt;height:653.3pt;margin-top:160.3pt;margin-left:19.05pt;mso-height-relative:page;mso-width-relative:page;position:absolute;v-text-anchor:middle;z-index:251667456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1204595</wp:posOffset>
                </wp:positionV>
                <wp:extent cx="1759585" cy="624840"/>
                <wp:effectExtent l="0" t="0" r="0" b="0"/>
                <wp:wrapNone/>
                <wp:docPr id="77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958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hAnsi="等线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Ansi="等线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38" type="#_x0000_t202" style="width:138.55pt;height:49.2pt;margin-top:94.85pt;margin-left:28.1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769EE8EE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Ansi="等线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1991.07.07</w:t>
                      </w:r>
                    </w:p>
                    <w:p w14:paraId="616BEFA4">
                      <w:pPr>
                        <w:spacing w:line="420" w:lineRule="exact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Ansi="等线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hAnsi="等线" w:hint="eastAsia"/>
                          <w:color w:val="FFFFFF" w:themeColor="background1"/>
                          <w:kern w:val="24"/>
                          <w:sz w:val="20"/>
                          <w:szCs w:val="20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Ansi="等线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1204595</wp:posOffset>
                </wp:positionV>
                <wp:extent cx="1661795" cy="624840"/>
                <wp:effectExtent l="0" t="0" r="0" b="0"/>
                <wp:wrapNone/>
                <wp:docPr id="77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17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9" type="#_x0000_t202" style="width:130.85pt;height:49.2pt;margin-top:94.85pt;margin-left:137.7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5DEA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20" w:lineRule="exact"/>
                        <w:ind w:firstLineChars="0"/>
                        <w:rPr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现居：北京海淀</w:t>
                      </w:r>
                    </w:p>
                    <w:p w14:paraId="05F65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20" w:lineRule="exact"/>
                        <w:ind w:firstLineChars="0"/>
                        <w:rPr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1177925</wp:posOffset>
                </wp:positionV>
                <wp:extent cx="6519545" cy="0"/>
                <wp:effectExtent l="0" t="0" r="0" b="0"/>
                <wp:wrapNone/>
                <wp:docPr id="781" name="直接连接符 7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alpha val="74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7696" from="34.2pt,92.75pt" to="547.55pt,92.75pt" coordsize="21600,21600" stroked="t" strokecolor="white" strokeweight="1pt">
                <v:stroke joinstyle="miter" opacity="48496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2554605</wp:posOffset>
                </wp:positionV>
                <wp:extent cx="7044690" cy="0"/>
                <wp:effectExtent l="0" t="0" r="0" b="0"/>
                <wp:wrapNone/>
                <wp:docPr id="783" name="直接连接符 7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1792" from="19.15pt,201.15pt" to="573.85pt,201.15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3856990</wp:posOffset>
                </wp:positionV>
                <wp:extent cx="7044690" cy="0"/>
                <wp:effectExtent l="0" t="0" r="0" b="0"/>
                <wp:wrapNone/>
                <wp:docPr id="784" name="直接连接符 7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3840" from="19.15pt,303.7pt" to="573.85pt,303.7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2554605</wp:posOffset>
                </wp:positionV>
                <wp:extent cx="835025" cy="0"/>
                <wp:effectExtent l="0" t="19050" r="22225" b="19050"/>
                <wp:wrapNone/>
                <wp:docPr id="788" name="直接连接符 7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B1B1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2032" from="34.25pt,201.15pt" to="100pt,201.15pt" coordsize="21600,21600" stroked="t" strokecolor="#1b1b1b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3856990</wp:posOffset>
                </wp:positionV>
                <wp:extent cx="835025" cy="0"/>
                <wp:effectExtent l="0" t="19050" r="22225" b="19050"/>
                <wp:wrapNone/>
                <wp:docPr id="789" name="直接连接符 7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B1B1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4080" from="34.25pt,303.7pt" to="100pt,303.7pt" coordsize="21600,21600" stroked="t" strokecolor="#1b1b1b" strokeweight="2.2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D993DA5A-9F8A-4336-ADE0-FDC8F80586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1DFAF6D9-E367-4567-B844-16FD77530B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26346803-A313-485F-B536-E85315E9756B}"/>
    <w:embedBold r:id="rId4" w:subsetted="1" w:fontKey="{BD7A3053-8F56-46C3-8380-8989E7CFF490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45C6D"/>
    <w:multiLevelType w:val="multilevel"/>
    <w:tmpl w:val="03A45C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B5594"/>
    <w:multiLevelType w:val="multilevel"/>
    <w:tmpl w:val="0B5B5594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2">
    <w:nsid w:val="27983F7C"/>
    <w:multiLevelType w:val="multilevel"/>
    <w:tmpl w:val="27983F7C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113D99"/>
    <w:rsid w:val="001848B3"/>
    <w:rsid w:val="001D03C0"/>
    <w:rsid w:val="00227C46"/>
    <w:rsid w:val="00254964"/>
    <w:rsid w:val="002A01B7"/>
    <w:rsid w:val="002E5D6C"/>
    <w:rsid w:val="00396464"/>
    <w:rsid w:val="003D1B1E"/>
    <w:rsid w:val="003E6076"/>
    <w:rsid w:val="00470966"/>
    <w:rsid w:val="0059502A"/>
    <w:rsid w:val="00612318"/>
    <w:rsid w:val="0069529A"/>
    <w:rsid w:val="00735C23"/>
    <w:rsid w:val="007700D3"/>
    <w:rsid w:val="007F1730"/>
    <w:rsid w:val="008560CD"/>
    <w:rsid w:val="008A0B92"/>
    <w:rsid w:val="008D7B16"/>
    <w:rsid w:val="009C3D28"/>
    <w:rsid w:val="009C6D05"/>
    <w:rsid w:val="009E7C6A"/>
    <w:rsid w:val="00A3505A"/>
    <w:rsid w:val="00A538E4"/>
    <w:rsid w:val="00B0303F"/>
    <w:rsid w:val="00B11153"/>
    <w:rsid w:val="00BF420C"/>
    <w:rsid w:val="00C44A0A"/>
    <w:rsid w:val="00CF5F91"/>
    <w:rsid w:val="00D256E2"/>
    <w:rsid w:val="00D46F8C"/>
    <w:rsid w:val="00D57B8C"/>
    <w:rsid w:val="00D71AD9"/>
    <w:rsid w:val="00D97681"/>
    <w:rsid w:val="22EE35B1"/>
    <w:rsid w:val="2ED62ED1"/>
    <w:rsid w:val="2F574B41"/>
    <w:rsid w:val="453546E3"/>
    <w:rsid w:val="671169D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CA6A96FF27324885B3B376D94A8FEECA_13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v1.0_mb_9Dfpta4askJ3wFdwkRcfYA==</vt:lpwstr>
  </property>
</Properties>
</file>