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2B16BEB">
      <w:bookmarkStart w:id="0" w:name="_GoBack"/>
      <w:bookmarkEnd w:id="0"/>
    </w:p>
    <w:p w14:paraId="5136499E"/>
    <w:p w14:paraId="3194A815"/>
    <w:p w14:paraId="2732FF73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ge">
                  <wp:posOffset>9968865</wp:posOffset>
                </wp:positionV>
                <wp:extent cx="6117590" cy="402590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759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Office skills: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proficient in Word, Excel, PPT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English skills: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TEM8 Score:85  Fluent in both speaking and writing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width:481.7pt;height:31.7pt;margin-top:784.95pt;margin-left:55.3pt;mso-height-relative:page;mso-position-vertical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69FFAF33">
                      <w:pPr>
                        <w:spacing w:line="240" w:lineRule="exact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Office skills: 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proficient in Word, Excel, PPT </w:t>
                      </w:r>
                    </w:p>
                    <w:p w14:paraId="21CD858B">
                      <w:pPr>
                        <w:spacing w:line="240" w:lineRule="exact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English skills: 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TEM8 Score:85  Fluent in both speaking and writing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9688830</wp:posOffset>
                </wp:positionV>
                <wp:extent cx="5830570" cy="2501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Skills &amp;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59.1pt;height:19.7pt;margin-top:762.9pt;margin-left:57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6602F992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Skills &amp; Certificates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7693025</wp:posOffset>
                </wp:positionV>
                <wp:extent cx="5830570" cy="2501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Campus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459.1pt;height:19.7pt;margin-top:605.75pt;margin-left:57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024B8FC6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Campus Activities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7958455</wp:posOffset>
                </wp:positionV>
                <wp:extent cx="4984750" cy="859790"/>
                <wp:effectExtent l="0" t="0" r="0" b="0"/>
                <wp:wrapNone/>
                <wp:docPr id="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Undergraduate Accounting Society   President/Founder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Used my advantages in professional courses, took notes, explained knowledge, trained the ability to precisely conclude and the skills in expressing myself briefly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Understood the importance of teamwork through learning and sharing with classmates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9" type="#_x0000_t202" style="width:392.5pt;height:67.7pt;margin-top:626.65pt;margin-left:144.55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95E7694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Undergraduate Accounting Society   President/Founder</w:t>
                      </w:r>
                    </w:p>
                    <w:p w14:paraId="43B627A2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Used my advantages in professional courses, took notes, explained knowledge, trained the ability to precisely conclude and the skills in expressing myself briefly</w:t>
                      </w:r>
                    </w:p>
                    <w:p w14:paraId="4477D2BD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Understood the importance of teamwork through learning and sharing with classmates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7958455</wp:posOffset>
                </wp:positionV>
                <wp:extent cx="1219835" cy="250190"/>
                <wp:effectExtent l="0" t="0" r="0" b="0"/>
                <wp:wrapNone/>
                <wp:docPr id="4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2-Oct.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0" type="#_x0000_t202" style="width:96.05pt;height:19.7pt;margin-top:626.65pt;margin-left:57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6372AE8D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2-Oct.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8842375</wp:posOffset>
                </wp:positionV>
                <wp:extent cx="4984750" cy="859790"/>
                <wp:effectExtent l="0" t="0" r="0" b="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UTM Investment Club   Charter member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Researched other student clubs and collaborated with business professor to draft charter.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Researches market sectors and presents appropriate investment recommendations at club meetings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1" type="#_x0000_t202" style="width:392.5pt;height:67.7pt;margin-top:696.25pt;margin-left:144.55pt;mso-height-relative:page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E69BB58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UTM Investment Club   Charter member</w:t>
                      </w:r>
                    </w:p>
                    <w:p w14:paraId="43073C90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Researched other student clubs and collaborated with business professor to draft charter. </w:t>
                      </w:r>
                    </w:p>
                    <w:p w14:paraId="6B28E5A1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Researches market sectors and presents appropriate investment recommendations at club meetings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8842375</wp:posOffset>
                </wp:positionV>
                <wp:extent cx="1219835" cy="250190"/>
                <wp:effectExtent l="0" t="0" r="0" b="0"/>
                <wp:wrapNone/>
                <wp:docPr id="5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5-Aug.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96.05pt;height:19.7pt;margin-top:696.25pt;margin-left:57pt;mso-height-relative:page;mso-position-vertical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71DA0363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Mar.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5-Aug.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6160770</wp:posOffset>
                </wp:positionV>
                <wp:extent cx="4984750" cy="1545590"/>
                <wp:effectExtent l="0" t="0" r="0" b="0"/>
                <wp:wrapNone/>
                <wp:docPr id="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General Mills Trading (Shanghai)   Cashier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Made payments using online banking 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Checked the bank statement with cash account of the company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Through the comprehensive investigation and research, analyzed the financial condition of the customer and risk tolerance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Created leveraged buyouts and merger models to assess proforma effects of potential transactions on corporate earnings, capital structure, credit ratios and ownership.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Designed complex leveraged buyout, recapitalization, valuation, merger, and debt capacity analysis for Merrill Lynch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3" type="#_x0000_t202" style="width:392.5pt;height:121.7pt;margin-top:485.1pt;margin-left:144.55pt;mso-height-relative:page;mso-position-vertical-relative:page;mso-width-relative:page;position:absolute;z-index:251701248" coordsize="21600,21600" filled="f" stroked="f" strokeweight="0.5pt">
                <o:lock v:ext="edit" aspectratio="f"/>
                <v:textbox style="mso-fit-shape-to-text:t">
                  <w:txbxContent>
                    <w:p w14:paraId="78EC0CDA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General Mills Trading (Shanghai)   Cashier</w:t>
                      </w:r>
                    </w:p>
                    <w:p w14:paraId="30F085E6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Made payments using online banking system</w:t>
                      </w:r>
                    </w:p>
                    <w:p w14:paraId="20D35CB7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Checked the bank statement with cash account of the company</w:t>
                      </w:r>
                    </w:p>
                    <w:p w14:paraId="627EEB0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Through the comprehensive investigation and research, analyzed the financial condition of the customer and risk tolerance</w:t>
                      </w:r>
                    </w:p>
                    <w:p w14:paraId="0DABEDA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Created leveraged buyouts and merger models to assess proforma effects of potential transactions on corporate earnings, capital structure, credit ratios and ownership.</w:t>
                      </w:r>
                    </w:p>
                    <w:p w14:paraId="2243D237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Designed complex leveraged buyout, recapitalization, valuation, merger, and debt capacity analysis for Merrill Lynch clients.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6160770</wp:posOffset>
                </wp:positionV>
                <wp:extent cx="1219835" cy="25019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Sep.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4-Feb.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4" type="#_x0000_t202" style="width:96.05pt;height:19.7pt;margin-top:485.1pt;margin-left:57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743A601F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Sep.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4-Feb.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5079365</wp:posOffset>
                </wp:positionV>
                <wp:extent cx="4984750" cy="1088390"/>
                <wp:effectExtent l="0" t="0" r="0" b="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General Electric (China)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Junior Accountant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General Ledger team, expense booking, able to use Oracle skillfully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Created leveraged buyouts and merger models to assess proforma effects of potential transactions on corporate earnings, capital structure, credit ratios and ownership.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Prepared company calculations, including fairness opinions, based on discounted cash flow, comparable company, precedent transactions and break-up value analyses.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5" type="#_x0000_t202" style="width:392.5pt;height:85.7pt;margin-top:399.95pt;margin-left:144.55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049FA10C">
                      <w:pPr>
                        <w:spacing w:line="240" w:lineRule="exact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General Electric (China)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 Junior Accountant</w:t>
                      </w:r>
                    </w:p>
                    <w:p w14:paraId="08E2D254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General Ledger team, expense booking, able to use Oracle skillfully</w:t>
                      </w:r>
                    </w:p>
                    <w:p w14:paraId="3E8EFC7D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Created leveraged buyouts and merger models to assess proforma effects of potential transactions on corporate earnings, capital structure, credit ratios and ownership.</w:t>
                      </w:r>
                    </w:p>
                    <w:p w14:paraId="543F4FE9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Prepared company calculations, including fairness opinions, based on discounted cash flow, comparable company, precedent transactions and break-up value analyses.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5079365</wp:posOffset>
                </wp:positionV>
                <wp:extent cx="1219835" cy="250190"/>
                <wp:effectExtent l="0" t="0" r="0" b="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Sep.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4-Jan.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96.05pt;height:19.7pt;margin-top:399.95pt;margin-left:57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1D7840CD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Sep.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4-Jan.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4150360</wp:posOffset>
                </wp:positionV>
                <wp:extent cx="4984750" cy="935990"/>
                <wp:effectExtent l="0" t="0" r="0" b="0"/>
                <wp:wrapNone/>
                <wp:docPr id="4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Price water house Coopers China    Summer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Join in the CCCC interim audit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Learn the basic audit procedure for several accounts: cash, finance expenses, etc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In charge of the bank confirmation procedure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Prepared company calculations, including fairness opinions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7" type="#_x0000_t202" style="width:392.5pt;height:73.7pt;margin-top:326.8pt;margin-left:144.5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69F57B4A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Price water house Coopers China    Summer Intern</w:t>
                      </w:r>
                    </w:p>
                    <w:p w14:paraId="1C587F86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Join in the CCCC interim audit project</w:t>
                      </w:r>
                    </w:p>
                    <w:p w14:paraId="67AB7180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Learn the basic audit procedure for several accounts: cash, finance expenses, etc</w:t>
                      </w:r>
                    </w:p>
                    <w:p w14:paraId="2F0866BC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In charge of the bank confirmation procedure</w:t>
                      </w:r>
                    </w:p>
                    <w:p w14:paraId="20A9A47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Prepared company calculations, including fairness opinions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4150360</wp:posOffset>
                </wp:positionV>
                <wp:extent cx="1219835" cy="250190"/>
                <wp:effectExtent l="0" t="0" r="0" b="0"/>
                <wp:wrapNone/>
                <wp:docPr id="3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May.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5-Aug.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width:96.05pt;height:19.7pt;margin-top:326.8pt;margin-left:57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5ECE007B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May.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5-Aug.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3883025</wp:posOffset>
                </wp:positionV>
                <wp:extent cx="5829935" cy="2501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9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Internship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59.05pt;height:19.7pt;margin-top:305.75pt;margin-left:57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1C33EF84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Internship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2503170</wp:posOffset>
                </wp:positionV>
                <wp:extent cx="4984750" cy="1393190"/>
                <wp:effectExtent l="0" t="0" r="0" b="0"/>
                <wp:wrapNone/>
                <wp:docPr id="2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1393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New International Education Consulting Co.Ltd      Project Manager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Take charge of Oversea Study Consulting Department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Draft the marketing strategy with marketing director,including TV,newspaper and interne strategies;execute the plan successfully and boost sales by 28%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Conduct a systematic research on competitors and give competitive strategy suggestions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Coordinated and implemented projects involving data collection, organization, computer input and data analysis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Followed up on outstanding invoices by contacting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0" type="#_x0000_t202" style="width:392.5pt;height:109.7pt;margin-top:197.1pt;margin-left:144.55pt;mso-height-relative:page;mso-position-vertical-relative:page;mso-width-relative:page;position:absolute;z-index:251699200" coordsize="21600,21600" filled="f" stroked="f" strokeweight="0.5pt">
                <o:lock v:ext="edit" aspectratio="f"/>
                <v:textbox style="mso-fit-shape-to-text:t">
                  <w:txbxContent>
                    <w:p w14:paraId="654CEF31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 xml:space="preserve">New International Education Consulting Co.Ltd      Project Manager </w:t>
                      </w:r>
                    </w:p>
                    <w:p w14:paraId="5C6386A9">
                      <w:pPr>
                        <w:numPr>
                          <w:ilvl w:val="0"/>
                          <w:numId w:val="1"/>
                        </w:numPr>
                        <w:spacing w:before="120"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Take charge of Oversea Study Consulting Department</w:t>
                      </w:r>
                    </w:p>
                    <w:p w14:paraId="578244CE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Draft the marketing strategy with marketing director,including TV,newspaper and interne strategies;execute the plan successfully and boost sales by 28%</w:t>
                      </w:r>
                    </w:p>
                    <w:p w14:paraId="16182389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Conduct a systematic research on competitors and give competitive strategy suggestions</w:t>
                      </w:r>
                    </w:p>
                    <w:p w14:paraId="57C94011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Coordinated and implemented projects involving data collection, organization, computer input and data analysis</w:t>
                      </w:r>
                    </w:p>
                    <w:p w14:paraId="5C7FC884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Followed up on outstanding invoices by contacting customers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2503170</wp:posOffset>
                </wp:positionV>
                <wp:extent cx="1219835" cy="250190"/>
                <wp:effectExtent l="0" t="0" r="0" b="0"/>
                <wp:wrapNone/>
                <wp:docPr id="2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Mar.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4-Jun.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1" type="#_x0000_t202" style="width:96.05pt;height:19.7pt;margin-top:197.1pt;margin-left:57pt;mso-height-relative:page;mso-position-vertical-relative:page;mso-width-relative:page;position:absolute;z-index:251697152" coordsize="21600,21600" filled="f" stroked="f" strokeweight="0.5pt">
                <o:lock v:ext="edit" aspectratio="f"/>
                <v:textbox style="mso-fit-shape-to-text:t">
                  <w:txbxContent>
                    <w:p w14:paraId="777380AD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Mar.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4-Jun.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2237105</wp:posOffset>
                </wp:positionV>
                <wp:extent cx="5830570" cy="2501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59.1pt;height:19.7pt;margin-top:176.15pt;margin-left:57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5EB9BFF4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  <w:u w:val="single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ge">
                  <wp:posOffset>1771650</wp:posOffset>
                </wp:positionV>
                <wp:extent cx="4984750" cy="4787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47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University of California, Los Angeles       Bachelor of Management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Major in Accounting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21"/>
                              </w:rPr>
                              <w:t>丨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Cumulative GPA: 3.76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8"/>
                                <w:szCs w:val="21"/>
                              </w:rPr>
                              <w:t>丨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 xml:space="preserve"> Honors: 2011 William Sharpe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92.5pt;height:37.7pt;margin-top:139.5pt;margin-left:144.5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08852DE4">
                      <w:pPr>
                        <w:spacing w:after="120" w:line="24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21"/>
                        </w:rPr>
                        <w:t>University of California, Los Angeles       Bachelor of Management</w:t>
                      </w:r>
                    </w:p>
                    <w:p w14:paraId="2F2263A1">
                      <w:pPr>
                        <w:spacing w:line="240" w:lineRule="exact"/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Major in Accounting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21"/>
                        </w:rPr>
                        <w:t>丨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Cumulative GPA: 3.76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8"/>
                          <w:szCs w:val="21"/>
                        </w:rPr>
                        <w:t>丨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 xml:space="preserve"> Honors: 2011 William Sharpe Fellow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1771650</wp:posOffset>
                </wp:positionV>
                <wp:extent cx="1219835" cy="2501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Sept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4-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Jun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96.05pt;height:19.7pt;margin-top:139.5pt;margin-left:57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2167DEE4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Sept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4-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Jun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201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2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ge">
                  <wp:posOffset>1506855</wp:posOffset>
                </wp:positionV>
                <wp:extent cx="5830570" cy="2501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0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  <w:u w:val="single"/>
                              </w:rPr>
                              <w:t>Education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59.1pt;height:19.7pt;margin-top:118.65pt;margin-left:57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1C1888CF">
                      <w:pPr>
                        <w:spacing w:line="240" w:lineRule="exac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  <w:u w:val="single"/>
                        </w:rPr>
                        <w:t>Education Background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6183630</wp:posOffset>
            </wp:positionH>
            <wp:positionV relativeFrom="page">
              <wp:posOffset>387985</wp:posOffset>
            </wp:positionV>
            <wp:extent cx="626110" cy="911225"/>
            <wp:effectExtent l="0" t="0" r="2540" b="3175"/>
            <wp:wrapNone/>
            <wp:docPr id="7" name="图片 7" descr="D:\桌面\桌面文件\登记照4\00114.jpg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桌面\桌面文件\登记照4\00114.jpg001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911225"/>
                    </a:xfrm>
                    <a:prstGeom prst="rect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ge">
                  <wp:posOffset>490220</wp:posOffset>
                </wp:positionV>
                <wp:extent cx="4687570" cy="986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8757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Youhan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138-0010-8000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19062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2627@qq.com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No.67, Lane123,Jiahui District, Shanghai,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369.1pt;height:77.7pt;margin-top:38.6pt;margin-left:56.1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1FECF066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Name: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 xml:space="preserve"> Lin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Youhan</w:t>
                      </w:r>
                    </w:p>
                    <w:p w14:paraId="1BE04502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138-0010-8000</w:t>
                      </w:r>
                    </w:p>
                    <w:p w14:paraId="42FE8BDC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19062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2627@qq.com</w:t>
                      </w:r>
                    </w:p>
                    <w:p w14:paraId="04960B0A">
                      <w:pPr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Address: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18"/>
                          <w:szCs w:val="18"/>
                        </w:rPr>
                        <w:t>No.67, Lane123,Jiahui District, Shanghai, China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FD4F32"/>
    <w:multiLevelType w:val="singleLevel"/>
    <w:tmpl w:val="67FD4F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C6D67"/>
    <w:rsid w:val="0046498E"/>
    <w:rsid w:val="008448CF"/>
    <w:rsid w:val="00B471D9"/>
    <w:rsid w:val="00DB0F8F"/>
    <w:rsid w:val="00FB0FCD"/>
    <w:rsid w:val="01375CDC"/>
    <w:rsid w:val="03F2249A"/>
    <w:rsid w:val="0536367D"/>
    <w:rsid w:val="07952700"/>
    <w:rsid w:val="08D34920"/>
    <w:rsid w:val="099B7055"/>
    <w:rsid w:val="11F15A4F"/>
    <w:rsid w:val="16E35BE4"/>
    <w:rsid w:val="17112EBC"/>
    <w:rsid w:val="18035E03"/>
    <w:rsid w:val="1BF13D7C"/>
    <w:rsid w:val="1CF97C5A"/>
    <w:rsid w:val="1DC83805"/>
    <w:rsid w:val="1EA469AD"/>
    <w:rsid w:val="1FAC5C2E"/>
    <w:rsid w:val="21B94E72"/>
    <w:rsid w:val="292B685E"/>
    <w:rsid w:val="2EEB772A"/>
    <w:rsid w:val="30792E54"/>
    <w:rsid w:val="32A861C2"/>
    <w:rsid w:val="37635920"/>
    <w:rsid w:val="3A1C6F4E"/>
    <w:rsid w:val="3BB86DDB"/>
    <w:rsid w:val="3C122625"/>
    <w:rsid w:val="3C987CFD"/>
    <w:rsid w:val="3F775C99"/>
    <w:rsid w:val="46DB4CD7"/>
    <w:rsid w:val="49626051"/>
    <w:rsid w:val="499005EF"/>
    <w:rsid w:val="573641A2"/>
    <w:rsid w:val="57C500D3"/>
    <w:rsid w:val="5A353C2F"/>
    <w:rsid w:val="5ADB51DD"/>
    <w:rsid w:val="5CA631C0"/>
    <w:rsid w:val="5EBE7343"/>
    <w:rsid w:val="606077F5"/>
    <w:rsid w:val="63672E2A"/>
    <w:rsid w:val="63DB66BC"/>
    <w:rsid w:val="65D8401A"/>
    <w:rsid w:val="6DEE1A2C"/>
    <w:rsid w:val="724A48C8"/>
    <w:rsid w:val="74E36276"/>
    <w:rsid w:val="76861591"/>
    <w:rsid w:val="77153C2B"/>
    <w:rsid w:val="79FF5923"/>
    <w:rsid w:val="7C032FA6"/>
    <w:rsid w:val="7CA360BD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FE3A9DAD8A5C474FB37A6CA23A572FAE_13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